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1"/>
      </w:tblGrid>
      <w:tr w:rsidR="000C5A5F" w:rsidRPr="000C5A5F" w:rsidTr="000C5A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0A5C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Муниципальное казенное общеобразовательное учреждение </w:t>
            </w:r>
          </w:p>
          <w:p w:rsidR="001A0A5C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№26» городского округа Нальчик </w:t>
            </w:r>
          </w:p>
          <w:p w:rsidR="001A0A5C" w:rsidRPr="004D02A7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Кабардино-Балкарской Республики</w:t>
            </w:r>
          </w:p>
          <w:p w:rsidR="001A0A5C" w:rsidRPr="004D02A7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906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9"/>
              <w:gridCol w:w="3696"/>
            </w:tblGrid>
            <w:tr w:rsidR="00AB4470" w:rsidRPr="004D02A7" w:rsidTr="00AB4470">
              <w:trPr>
                <w:trHeight w:val="176"/>
                <w:jc w:val="center"/>
              </w:trPr>
              <w:tc>
                <w:tcPr>
                  <w:tcW w:w="53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05522" cy="1450912"/>
                        <wp:effectExtent l="19050" t="0" r="4228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091" cy="145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4470" w:rsidRPr="004D02A7" w:rsidTr="00AB4470">
              <w:trPr>
                <w:trHeight w:val="166"/>
                <w:jc w:val="center"/>
              </w:trPr>
              <w:tc>
                <w:tcPr>
                  <w:tcW w:w="53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2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0" w:type="auto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470" w:rsidRPr="004D02A7" w:rsidTr="00AB4470">
              <w:trPr>
                <w:trHeight w:val="176"/>
                <w:jc w:val="center"/>
              </w:trPr>
              <w:tc>
                <w:tcPr>
                  <w:tcW w:w="53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2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МКОУ СОШ№ 26</w:t>
                  </w:r>
                </w:p>
              </w:tc>
              <w:tc>
                <w:tcPr>
                  <w:tcW w:w="0" w:type="auto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470" w:rsidRPr="004D02A7" w:rsidTr="00AB4470">
              <w:trPr>
                <w:trHeight w:val="176"/>
                <w:jc w:val="center"/>
              </w:trPr>
              <w:tc>
                <w:tcPr>
                  <w:tcW w:w="53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 </w:t>
                  </w:r>
                  <w:r w:rsidRPr="004D02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 апреля </w:t>
                  </w:r>
                  <w:r w:rsidRPr="004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4D02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  <w:r w:rsidRPr="004D0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 №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4470" w:rsidRPr="004D02A7" w:rsidRDefault="00AB4470" w:rsidP="00685A50">
                  <w:pPr>
                    <w:spacing w:after="0" w:line="240" w:lineRule="auto"/>
                    <w:ind w:left="567" w:hanging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0A5C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0A5C" w:rsidRPr="004D02A7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4D0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  <w:p w:rsidR="001A0A5C" w:rsidRPr="004D02A7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муниципального казенного общеобразовательного учреждения «СОШ№ 26»</w:t>
            </w:r>
          </w:p>
          <w:p w:rsidR="001A0A5C" w:rsidRPr="004D02A7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Pr="004D02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Pr="004D02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A0A5C" w:rsidRPr="009C681E" w:rsidRDefault="001A0A5C" w:rsidP="001A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часть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10034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1"/>
              <w:gridCol w:w="7633"/>
            </w:tblGrid>
            <w:tr w:rsidR="0058239A" w:rsidRPr="000C5A5F" w:rsidTr="006108B9">
              <w:trPr>
                <w:trHeight w:val="57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образовательной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63339C" w:rsidRDefault="0058239A" w:rsidP="00633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Муниципальное казен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ное </w:t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щеоб</w:t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разовательное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учреждение «Средняя общеобразовательная школа №26»</w:t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33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ошкольное</w:t>
                  </w:r>
                  <w:r w:rsidR="0063339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отделение.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58239A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63339C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Бегиев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Замир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Ауладинович</w:t>
                  </w:r>
                  <w:proofErr w:type="spellEnd"/>
                </w:p>
              </w:tc>
            </w:tr>
            <w:tr w:rsidR="0063339C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39C" w:rsidRPr="000C5A5F" w:rsidRDefault="0063339C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 структурным подразделением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339C" w:rsidRDefault="0063339C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Шибзухова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Асият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Юрьевна</w:t>
                  </w:r>
                </w:p>
              </w:tc>
            </w:tr>
            <w:tr w:rsidR="0058239A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63339C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360005, КБР,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альчик,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п.Адиюх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,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Нарткалинское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шоссе, 165.</w:t>
                  </w:r>
                </w:p>
              </w:tc>
            </w:tr>
            <w:tr w:rsidR="0058239A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63339C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96-95-31</w:t>
                  </w:r>
                </w:p>
              </w:tc>
            </w:tr>
            <w:tr w:rsidR="0058239A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63339C" w:rsidRDefault="0063339C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oy26@mail.ru</w:t>
                  </w:r>
                </w:p>
              </w:tc>
            </w:tr>
            <w:tr w:rsidR="0058239A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63339C" w:rsidRDefault="001A0A5C" w:rsidP="001A0A5C">
                  <w:pPr>
                    <w:tabs>
                      <w:tab w:val="left" w:pos="6540"/>
                    </w:tabs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 xml:space="preserve">Местная администрации городского округа Нальчик </w:t>
                  </w:r>
                  <w:r w:rsidR="0063339C" w:rsidRPr="0063339C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End"/>
                </w:p>
              </w:tc>
            </w:tr>
            <w:tr w:rsidR="0058239A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6D779E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1980 </w:t>
                  </w:r>
                  <w:r w:rsidR="00F81E6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од</w:t>
                  </w:r>
                  <w:r w:rsidR="00F81E6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8239A" w:rsidRPr="000C5A5F" w:rsidTr="006108B9">
              <w:trPr>
                <w:trHeight w:val="24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</w:p>
              </w:tc>
              <w:tc>
                <w:tcPr>
                  <w:tcW w:w="7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1A0A5C" w:rsidRDefault="001A0A5C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1A0A5C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№1971 от 28.10.2016г. выдан Министерством образования, науки и по делам молодежи </w:t>
                  </w:r>
                  <w:proofErr w:type="spellStart"/>
                  <w:proofErr w:type="gramStart"/>
                  <w:r w:rsidRPr="001A0A5C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Кабардино</w:t>
                  </w:r>
                  <w:proofErr w:type="spellEnd"/>
                  <w:r w:rsidRPr="001A0A5C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- Балкарской</w:t>
                  </w:r>
                  <w:proofErr w:type="gramEnd"/>
                  <w:r w:rsidRPr="001A0A5C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Республики</w:t>
                  </w:r>
                </w:p>
              </w:tc>
            </w:tr>
            <w:tr w:rsidR="0058239A" w:rsidRPr="000C5A5F" w:rsidTr="006108B9">
              <w:trPr>
                <w:trHeight w:val="13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5A5F" w:rsidRPr="001A0A5C" w:rsidRDefault="005D5C46" w:rsidP="005B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hAnsi="Times New Roman" w:cs="Times New Roman"/>
                <w:sz w:val="24"/>
                <w:szCs w:val="24"/>
              </w:rPr>
              <w:t>МКОУ «Средняя общеобразовательная школа №26» Дошкольное отделение</w:t>
            </w:r>
            <w:r w:rsidR="006D779E" w:rsidRPr="001A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CB" w:rsidRPr="001A0A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D5586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(далее – Дошкольное отделение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расположено в жило</w:t>
            </w:r>
            <w:r w:rsidR="00D5586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 районе города вдали от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предприятий и тор</w:t>
            </w:r>
            <w:r w:rsidR="00D5586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говых мест. Здание Дошкольного отделения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построено по типовому проекту. </w:t>
            </w:r>
            <w:r w:rsidR="00D5586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 наполняемость на 80</w:t>
            </w:r>
            <w:r w:rsidR="00CA0C80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мест. Общая площадь здания 357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кв. м, из них площадь помещений, используемых непосредственно для нужд</w:t>
            </w:r>
            <w:r w:rsidR="00CA0C80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образовательного процесса, 297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кв. м.</w:t>
            </w:r>
          </w:p>
          <w:p w:rsidR="000C5A5F" w:rsidRPr="001A0A5C" w:rsidRDefault="00D55867" w:rsidP="005B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Цель деятельности Дошкольного отделения 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осуществление образовательной деятельности по реализации образовательных программ дошкольного образования.</w:t>
            </w:r>
          </w:p>
          <w:p w:rsidR="000C5A5F" w:rsidRPr="001A0A5C" w:rsidRDefault="000C5A5F" w:rsidP="005B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Предметом деятельности </w:t>
            </w:r>
            <w:r w:rsidR="00D5586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Дошкольного отделения 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5D5C46" w:rsidRPr="001A0A5C" w:rsidRDefault="005D5C46" w:rsidP="005B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C5A5F" w:rsidRPr="001A0A5C" w:rsidRDefault="000C5A5F" w:rsidP="005D5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Режим работы </w:t>
            </w:r>
            <w:r w:rsidR="00D55867" w:rsidRPr="001A0A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Дошкольного отделения  </w:t>
            </w:r>
          </w:p>
          <w:p w:rsidR="005D5C46" w:rsidRPr="001A0A5C" w:rsidRDefault="000C5A5F" w:rsidP="005D5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Рабочая неделя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пятидневная, с понедельника по пятницу. Длительность пребывания детей в группах – 12</w:t>
            </w:r>
            <w:r w:rsidR="00D5586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часов. </w:t>
            </w:r>
          </w:p>
          <w:p w:rsidR="005D5C46" w:rsidRPr="001A0A5C" w:rsidRDefault="00D55867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Режим работы групп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с 7:00 до 19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:00.</w:t>
            </w:r>
          </w:p>
          <w:p w:rsidR="007F2075" w:rsidRPr="001A0A5C" w:rsidRDefault="007F2075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Система управления организации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D5586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Дошкольного отделения 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осуществляется в соответствии с действующим законодательством и уставом </w:t>
            </w:r>
            <w:r w:rsidR="00354726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МКОУ «СОШ№26»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354726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Дошкольным отделением 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строится н</w:t>
            </w:r>
            <w:r w:rsidR="00354726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 принципах единого начала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коллегиальности. 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Коллегиальными органами управления являются: управляющий совет, педагогический </w:t>
            </w:r>
          </w:p>
          <w:p w:rsidR="00354726" w:rsidRPr="001A0A5C" w:rsidRDefault="00354726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совет, общее собрание работников. </w:t>
            </w:r>
            <w:r w:rsidR="00354726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Исполнительным органом являю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354726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Директор и заведующая структурным подразделением.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Органы управления, действующие в </w:t>
            </w:r>
            <w:r w:rsidR="00354726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дошкольном отделении МКОУ «СОШ№26»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0"/>
              <w:gridCol w:w="7038"/>
            </w:tblGrid>
            <w:tr w:rsidR="000C5A5F" w:rsidRPr="000C5A5F" w:rsidTr="006108B9">
              <w:trPr>
                <w:jc w:val="center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Функции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7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Контролирует работу и обеспечивает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эффективное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взаимодействие структурных подразделений организации,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утверждает штатное расписание, отчетные документы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организации, осуществляет общее руководство </w:t>
                  </w:r>
                  <w:r w:rsidR="005D5C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Дошкольным отделением </w:t>
                  </w:r>
                  <w:r w:rsidR="005D5C46" w:rsidRPr="000C5A5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70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Рассматривает вопросы: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развития образовательной организации;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финансово-хозяйственной деятельности;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0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Осуществляет текущее руководство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образовательной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деятельностью </w:t>
                  </w:r>
                  <w:r w:rsidR="005D5C4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Дошкольного отделения</w:t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 в том числе рассматривает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вопросы: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развития образовательных услуг;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регламентации образовательных отношений;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разработки образовательных программ;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выбора учебников, учебных пособий, средств обучения и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воспитания;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материально-технического обеспечения образовательного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процесса;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− аттестации, повышении квалификации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педагогических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5A5F" w:rsidRPr="000C5A5F" w:rsidRDefault="000C5A5F" w:rsidP="005D5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работников;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291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Общее собрание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70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Реализует право работников участвовать в управлении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образовательной организацией, в том числе: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− участвовать в разработке и принятии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коллективного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договора, Правил трудового распорядка, изменений и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дополнений к ним;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принимать локальные акты, которые регламентируют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деятельность образовательной организации и </w:t>
                  </w:r>
                  <w:r w:rsidR="005D5C4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связанные </w:t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правами и обязанностями работников;</w:t>
                  </w:r>
                </w:p>
                <w:p w:rsidR="000C5A5F" w:rsidRPr="000C5A5F" w:rsidRDefault="000C5A5F" w:rsidP="000C5A5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разрешать конфликтные ситуации между работниками и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администрацией образовательной организации;</w:t>
                  </w:r>
                </w:p>
                <w:p w:rsidR="000C5A5F" w:rsidRPr="000C5A5F" w:rsidRDefault="000C5A5F" w:rsidP="005D5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− вносить предложения по корректировке плана мероприятий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организации, совершенствованию ее работы и развитию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материальной базы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29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5A5F" w:rsidRPr="001A0A5C" w:rsidRDefault="000C5A5F" w:rsidP="005D5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Структура и система управления соответствуют специфике деятельности Детского сада.</w:t>
            </w:r>
          </w:p>
          <w:p w:rsidR="0082065B" w:rsidRPr="001A0A5C" w:rsidRDefault="0082065B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635A57" w:rsidRPr="001A0A5C" w:rsidRDefault="000C5A5F" w:rsidP="0063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 </w:t>
            </w:r>
            <w:r w:rsidR="005B4DC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Дошкольном  отделении 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организована в соответствии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" w:anchor="/document/99/902389617/" w:history="1">
              <w:r w:rsidRPr="001A0A5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«Об образовании в Российской Федерации»,</w:t>
            </w:r>
            <w:r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6" w:anchor="/document/99/499057887/" w:history="1">
              <w:r w:rsidRPr="001A0A5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" w:anchor="/document/99/499023522/" w:history="1">
              <w:proofErr w:type="spellStart"/>
              <w:r w:rsidRPr="001A0A5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Pr="001A0A5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2.4.1.3049-13</w:t>
              </w:r>
            </w:hyperlink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«Санитарно-эпидемиологические </w:t>
            </w:r>
            <w:r w:rsidR="005B4DCB" w:rsidRPr="001A0A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требования к устройству, содержанию и организации режима</w:t>
            </w:r>
          </w:p>
          <w:p w:rsidR="000C5A5F" w:rsidRPr="001A0A5C" w:rsidRDefault="000C5A5F" w:rsidP="0063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 дошкольных образовательных организаций».</w:t>
            </w:r>
          </w:p>
          <w:p w:rsidR="000C5A5F" w:rsidRPr="001A0A5C" w:rsidRDefault="000C5A5F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8" w:anchor="/document/99/499057887/" w:history="1">
              <w:r w:rsidRPr="001A0A5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0C5A5F" w:rsidRPr="001A0A5C" w:rsidRDefault="005B4DCB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Детский сад посещают 92 воспитанника 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возрасте от 2 до 7 лет. В Детском саду </w:t>
            </w:r>
          </w:p>
          <w:p w:rsidR="000C5A5F" w:rsidRPr="001A0A5C" w:rsidRDefault="005B4DCB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сформировано 3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направленности. Из них:</w:t>
            </w:r>
          </w:p>
          <w:p w:rsidR="000C5A5F" w:rsidRPr="001A0A5C" w:rsidRDefault="005B4DCB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− 1  младшая  группа – по 20 детей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0C5A5F" w:rsidRPr="001A0A5C" w:rsidRDefault="005B4DCB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− 1 средняя группа – 36 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детей;</w:t>
            </w:r>
          </w:p>
          <w:p w:rsidR="000C5A5F" w:rsidRPr="001A0A5C" w:rsidRDefault="005B4DCB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− 1 подготовительная  группа – 35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развития детей анализируется по итогам педагогической диагностики. Формы 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проведения диагностики: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диагностические занятия (по каждому разделу программы);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диагностические срезы;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наблюдения, итоговые занятия.</w:t>
            </w:r>
          </w:p>
          <w:p w:rsidR="000C5A5F" w:rsidRPr="001A0A5C" w:rsidRDefault="000C5A5F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Разработаны диагностические карты освоения основной образовательной программы дошкольного образования </w:t>
            </w:r>
            <w:r w:rsidR="005B4DC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Дошкольного отделения 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(ООП </w:t>
            </w:r>
            <w:r w:rsidR="005B4DC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Дошкольного отделения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в каждой возрастной группе. Карты включают анализ уровня развития целевых ориентиров детского развития и качества освоения образовате</w:t>
            </w:r>
            <w:r w:rsidR="005B4DC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льных областей. Так, результаты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качества освоения ООП </w:t>
            </w:r>
            <w:r w:rsidR="005B4DC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Дошкольного отделения  </w:t>
            </w:r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2017 года выглядят следующим образом:</w:t>
            </w:r>
          </w:p>
          <w:p w:rsidR="0082065B" w:rsidRPr="005B4DCB" w:rsidRDefault="0082065B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3"/>
              <w:gridCol w:w="537"/>
              <w:gridCol w:w="667"/>
              <w:gridCol w:w="537"/>
              <w:gridCol w:w="667"/>
              <w:gridCol w:w="537"/>
              <w:gridCol w:w="567"/>
              <w:gridCol w:w="537"/>
              <w:gridCol w:w="1499"/>
            </w:tblGrid>
            <w:tr w:rsidR="000C5A5F" w:rsidRPr="000C5A5F" w:rsidTr="006108B9">
              <w:trPr>
                <w:jc w:val="center"/>
              </w:trPr>
              <w:tc>
                <w:tcPr>
                  <w:tcW w:w="4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Уровень развития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целевых ориентиров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46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Кол-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Кол-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Кол-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Кол-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пределе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нормы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46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7,6%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A75B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92,3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4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Качество освоения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образовательных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34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27,1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34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34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65,2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7,6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A75BC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34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92,3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6108B9">
              <w:trPr>
                <w:jc w:val="center"/>
              </w:trPr>
              <w:tc>
                <w:tcPr>
                  <w:tcW w:w="469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2075" w:rsidRDefault="007F2075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C5A5F" w:rsidRPr="001A0A5C" w:rsidRDefault="00820347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мае 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2017 года педагоги Дошкольного отделения  провели 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обследование воспитанников подготовительной группы на предмет оценки </w:t>
            </w:r>
            <w:proofErr w:type="spellStart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предпосылок к учеб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ной деятельности в количестве 35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человек. Задания позволили оценить уровень </w:t>
            </w:r>
            <w:proofErr w:type="spellStart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предпосылок к учебной деятельности: возможность работать </w:t>
            </w:r>
            <w:proofErr w:type="gramStart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5A5F" w:rsidRPr="001A0A5C" w:rsidRDefault="000C5A5F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      </w:r>
          </w:p>
          <w:p w:rsidR="000C5A5F" w:rsidRPr="001A0A5C" w:rsidRDefault="000C5A5F" w:rsidP="00820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      </w:r>
            <w:r w:rsidR="00820347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ьной деятельности в Дошкольном отделении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  <w:p w:rsidR="000C5A5F" w:rsidRPr="001A0A5C" w:rsidRDefault="00820347" w:rsidP="00820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выбора  стратегии 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воспитательной работы, в 2017 году проводился анализ состава семей воспитанников.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семей по составу</w:t>
            </w:r>
          </w:p>
          <w:tbl>
            <w:tblPr>
              <w:tblW w:w="10041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9"/>
              <w:gridCol w:w="2956"/>
              <w:gridCol w:w="3336"/>
            </w:tblGrid>
            <w:tr w:rsidR="000C5A5F" w:rsidRPr="000C5A5F" w:rsidTr="008203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Процент от общего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количества семей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</w:tc>
            </w:tr>
            <w:tr w:rsidR="000C5A5F" w:rsidRPr="000C5A5F" w:rsidTr="008203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347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  <w:r w:rsidR="0082065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77,1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8203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Неполная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82065B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21,7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8203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Оформлено опекунство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82065B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347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82034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5A5F" w:rsidRPr="000C5A5F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Характеристика семей по количеству детей</w:t>
            </w:r>
          </w:p>
          <w:tbl>
            <w:tblPr>
              <w:tblW w:w="10041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8"/>
              <w:gridCol w:w="3040"/>
              <w:gridCol w:w="3203"/>
            </w:tblGrid>
            <w:tr w:rsidR="000C5A5F" w:rsidRPr="000C5A5F" w:rsidTr="006108B9">
              <w:tc>
                <w:tcPr>
                  <w:tcW w:w="18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Процент от общего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количества семей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</w:tc>
            </w:tr>
            <w:tr w:rsidR="000C5A5F" w:rsidRPr="000C5A5F" w:rsidTr="006108B9">
              <w:tc>
                <w:tcPr>
                  <w:tcW w:w="18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3,2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6108B9">
              <w:tc>
                <w:tcPr>
                  <w:tcW w:w="18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82065B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2065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38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6108B9">
              <w:tc>
                <w:tcPr>
                  <w:tcW w:w="18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15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82065B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2065B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82065B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58,6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0C5A5F" w:rsidRPr="000C5A5F" w:rsidTr="006108B9">
              <w:tc>
                <w:tcPr>
                  <w:tcW w:w="1891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5A5F" w:rsidRPr="001A0A5C" w:rsidRDefault="000C5A5F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с </w:t>
            </w:r>
            <w:r w:rsidR="0082065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использованием </w:t>
            </w:r>
            <w:proofErr w:type="spellStart"/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разно</w:t>
            </w:r>
            <w:r w:rsidR="0082065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образных</w:t>
            </w:r>
            <w:proofErr w:type="spellEnd"/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месяцы после зачисления в Д</w:t>
            </w:r>
            <w:r w:rsidR="0082065B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ошкольное отделение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065B" w:rsidRPr="001A0A5C" w:rsidRDefault="0082065B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IV. Оценка </w:t>
            </w:r>
            <w:proofErr w:type="gramStart"/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0C5A5F" w:rsidRPr="001A0A5C" w:rsidRDefault="007F2075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B79D9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МКОУ «СОШ №26»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утверждено</w:t>
            </w:r>
            <w:r w:rsidR="000C5A5F"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anchor="/document/118/49757/" w:history="1">
              <w:r w:rsidR="000C5A5F" w:rsidRPr="001A0A5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B79D9"/>
                  <w:sz w:val="24"/>
                  <w:szCs w:val="24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Мониторинг качества образовательной деятельности в 2017 году показал хорошую работу педагогического коллектива по всем показателям.</w:t>
            </w:r>
          </w:p>
          <w:p w:rsidR="000C5A5F" w:rsidRPr="001A0A5C" w:rsidRDefault="000C5A5F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Состояние здоровья и физического развития воспитанников удовлетворительные. 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92%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детей успешно освоили образовательную программу дошкольного образования в своей 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возрастной группе. Воспитанники </w:t>
            </w:r>
            <w:proofErr w:type="spellStart"/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-тельной</w:t>
            </w:r>
            <w:proofErr w:type="spellEnd"/>
            <w:proofErr w:type="gramEnd"/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показали высокие 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средние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готовности к обучению в школе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В течение года </w:t>
            </w:r>
          </w:p>
          <w:p w:rsidR="000C5A5F" w:rsidRPr="001A0A5C" w:rsidRDefault="000C5A5F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воспитанники 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Дошкольного отделения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участвовали в конкурсах и мероприятиях различного уровня.</w:t>
            </w:r>
          </w:p>
          <w:p w:rsidR="000C5A5F" w:rsidRPr="001A0A5C" w:rsidRDefault="007F2075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период с 18.11.2017 по 25.11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.2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017 проводилось анкетирование 82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родителей, получены следующие результаты:</w:t>
            </w:r>
          </w:p>
          <w:p w:rsidR="000C5A5F" w:rsidRPr="001A0A5C" w:rsidRDefault="000C5A5F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доля получателей услуг, положительно оценивающих доброжелательность и вежливо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сть работников организации, – 87%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удовлетворенных компетентностью работников </w:t>
            </w:r>
          </w:p>
          <w:p w:rsidR="000C5A5F" w:rsidRPr="001A0A5C" w:rsidRDefault="007F2075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организации, – 76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0C5A5F" w:rsidRPr="001A0A5C" w:rsidRDefault="000C5A5F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удовлетворенных материально-техническим обеспечением 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организации, –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57%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0C5A5F" w:rsidRPr="001A0A5C" w:rsidRDefault="000C5A5F" w:rsidP="007F2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удовлетворенных качеством предоставляемых </w:t>
            </w:r>
            <w:r w:rsidR="007F2075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образовательных услуг, – 75%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0C5A5F" w:rsidRPr="001A0A5C" w:rsidRDefault="000C5A5F" w:rsidP="0017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доля получателей услуг, которые готовы рекомендовать организацию родственникам </w:t>
            </w:r>
            <w:r w:rsidR="00175272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знакомым, – 95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5272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C5A5F" w:rsidRPr="001A0A5C" w:rsidRDefault="000C5A5F" w:rsidP="0017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175272" w:rsidRDefault="00175272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Оценка кадрового обеспечения</w:t>
            </w:r>
          </w:p>
          <w:p w:rsidR="000C5A5F" w:rsidRPr="001A0A5C" w:rsidRDefault="000C5A5F" w:rsidP="0017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Детский сад укомплектован педагогами на 100 процентов согласно штатному </w:t>
            </w:r>
            <w:r w:rsidR="00175272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расписанию. Всего работают 6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человек. Педагогический коллектив Детского сада </w:t>
            </w:r>
            <w:r w:rsidR="00175272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насчитывает 3 специалиста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Соотношение воспитанников, приходящихся на 1 взрослого:</w:t>
            </w:r>
          </w:p>
          <w:p w:rsidR="000C5A5F" w:rsidRPr="001A0A5C" w:rsidRDefault="00175272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воспитанник/педагоги – 15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/1;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в</w:t>
            </w:r>
            <w:r w:rsidR="00175272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оспитанники/все сотрудники – 10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/1.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 2017 год педагогические работники прошли аттестацию и получили:</w:t>
            </w:r>
          </w:p>
          <w:p w:rsidR="000C5A5F" w:rsidRPr="001A0A5C" w:rsidRDefault="00175272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воспитателей соответствуют занимающей должности.</w:t>
            </w:r>
          </w:p>
          <w:p w:rsidR="000C5A5F" w:rsidRPr="001A0A5C" w:rsidRDefault="000C5A5F" w:rsidP="00175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Курсы</w:t>
            </w:r>
            <w:r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anchor="/document/16/4019/" w:history="1">
              <w:r w:rsidRPr="001A0A5C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B79D9"/>
                  <w:sz w:val="24"/>
                  <w:szCs w:val="24"/>
                  <w:lang w:eastAsia="ru-RU"/>
                </w:rPr>
                <w:t>повышения квалификации</w:t>
              </w:r>
            </w:hyperlink>
            <w:r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201</w:t>
            </w:r>
            <w:r w:rsidR="00175272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году прошли 6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работников Детского сада, из них </w:t>
            </w:r>
            <w:r w:rsidR="00175272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педагогов. 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Диаграмма с характеристиками кадрового состава Д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ошкольного отделения.</w:t>
            </w:r>
          </w:p>
          <w:p w:rsidR="000C5A5F" w:rsidRPr="000C5A5F" w:rsidRDefault="00360FC4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FC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880754" cy="2674189"/>
                  <wp:effectExtent l="19050" t="0" r="15096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0C5A5F" w:rsidRPr="001A0A5C" w:rsidRDefault="000C5A5F" w:rsidP="0036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ошкольное отделение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укомплектован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кадрами полностью. Педагоги постоянно повышают свой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профессио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нальный</w:t>
            </w:r>
            <w:proofErr w:type="spellEnd"/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саморазвиваются</w:t>
            </w:r>
            <w:proofErr w:type="spell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0C5A5F" w:rsidRPr="001A0A5C" w:rsidRDefault="000C5A5F" w:rsidP="00C2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Д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ошкольном отделении </w:t>
            </w:r>
            <w:hyperlink r:id="rId12" w:anchor="/document/16/38785/" w:history="1">
              <w:r w:rsidRPr="001A0A5C">
                <w:rPr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библиотека</w:t>
              </w:r>
            </w:hyperlink>
            <w:r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является составной частью методической службы. </w:t>
            </w:r>
          </w:p>
          <w:p w:rsidR="000C5A5F" w:rsidRPr="001A0A5C" w:rsidRDefault="000C5A5F" w:rsidP="00C2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иблиотечный фонд располагается в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</w:t>
            </w:r>
          </w:p>
          <w:p w:rsidR="000C5A5F" w:rsidRPr="001A0A5C" w:rsidRDefault="000C5A5F" w:rsidP="00C2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программы, детской художественной литературой, периодическими изданиями, а также другими </w:t>
            </w:r>
            <w:proofErr w:type="spellStart"/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</w:t>
            </w:r>
            <w:r w:rsidR="00360FC4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</w:t>
            </w:r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5A5F" w:rsidRPr="001A0A5C" w:rsidRDefault="000C5A5F" w:rsidP="00C2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обязательной частью ООП.</w:t>
            </w:r>
          </w:p>
          <w:p w:rsidR="000C5A5F" w:rsidRPr="001A0A5C" w:rsidRDefault="000C5A5F" w:rsidP="00C2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2017 году Детский сад пополнил учебно-методический компле</w:t>
            </w:r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кт к пр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      </w:r>
          </w:p>
          <w:p w:rsidR="000C5A5F" w:rsidRPr="001A0A5C" w:rsidRDefault="000C5A5F" w:rsidP="00E8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серии «Мир в картинках», «Рассказы по картинкам», «Расскажите детям о…», «Играем в </w:t>
            </w:r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сказку»</w:t>
            </w:r>
            <w:proofErr w:type="gramStart"/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Грамматика в картинках», «Искусство детям»;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картины для рассматривания, плакаты;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комплексы для оформления родительских уголков;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рабочие тетради для </w:t>
            </w:r>
            <w:proofErr w:type="gramStart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C5A5F" w:rsidRPr="001A0A5C" w:rsidRDefault="000C5A5F" w:rsidP="00E8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Д</w:t>
            </w:r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ошкольном отделении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E816B9" w:rsidRPr="001A0A5C" w:rsidRDefault="000C5A5F" w:rsidP="00E8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Дошкольном отделении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сформирована материально-техническая база для реализации образовательных программ, жизнеобеспечения и развития детей.</w:t>
            </w:r>
          </w:p>
          <w:p w:rsidR="000C5A5F" w:rsidRPr="001A0A5C" w:rsidRDefault="000C5A5F" w:rsidP="00E8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Дошкольном отделении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оборудованы помещения:</w:t>
            </w:r>
          </w:p>
          <w:p w:rsidR="000C5A5F" w:rsidRPr="001A0A5C" w:rsidRDefault="00E816B9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− групповые помещения – 3</w:t>
            </w:r>
            <w:r w:rsidR="000C5A5F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кабинет заведующего – 1;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музыкальный зал </w:t>
            </w:r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физкультурный зал 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1;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пищеблок – 1;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прачечная – 1;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− медицинский кабинет – 1;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− </w:t>
            </w:r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процедурный кабинет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1;</w:t>
            </w:r>
          </w:p>
          <w:p w:rsidR="000C5A5F" w:rsidRPr="001A0A5C" w:rsidRDefault="000C5A5F" w:rsidP="00E8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0C5A5F" w:rsidRPr="001A0A5C" w:rsidRDefault="000C5A5F" w:rsidP="00E8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2017 году Детский сад провел</w:t>
            </w:r>
            <w:r w:rsidRPr="001A0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anchor="/document/16/2658/" w:history="1">
              <w:r w:rsidRPr="001A0A5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текущий ремонт</w:t>
              </w:r>
            </w:hyperlink>
            <w:r w:rsidRPr="001A0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16B9" w:rsidRPr="001A0A5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групп, 2 спальных помещений, </w:t>
            </w:r>
            <w:r w:rsidR="00E816B9"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коридоров 1 и 2 этажей</w:t>
            </w: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C5A5F" w:rsidRPr="001A0A5C" w:rsidRDefault="000C5A5F" w:rsidP="00E81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0C5A5F" w:rsidRPr="001A0A5C" w:rsidRDefault="000C5A5F" w:rsidP="000C5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Данные приведены по состоянию на 29.12.2017.</w:t>
            </w:r>
          </w:p>
          <w:tbl>
            <w:tblPr>
              <w:tblW w:w="0" w:type="auto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1"/>
              <w:gridCol w:w="1418"/>
              <w:gridCol w:w="1417"/>
            </w:tblGrid>
            <w:tr w:rsidR="000C5A5F" w:rsidRPr="000C5A5F" w:rsidTr="004A1BB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0C5A5F" w:rsidRPr="000C5A5F" w:rsidTr="004A1BBD">
              <w:tc>
                <w:tcPr>
                  <w:tcW w:w="97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0C5A5F" w:rsidRPr="000C5A5F" w:rsidTr="004A1BBD">
              <w:trPr>
                <w:trHeight w:val="376"/>
              </w:trPr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4A1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воспитанников, которые обучаются по программе дошкольного образования</w:t>
                  </w:r>
                  <w:r w:rsidR="004A1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E816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4A1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режиме полного дня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(8–12 часов)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E816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E816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психолого-педагогическим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E816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E816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</w:t>
                  </w:r>
                  <w:r w:rsidR="004A1BB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</w:t>
                  </w: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 от общей численности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proofErr w:type="gram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группах: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E816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92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(100%)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Численность 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 с ОВЗ от общей численности воспитанников, которые получают услуги: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 (0%)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Средний показатель пропущенных по болезни дней на одного воспитанника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E816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Общая численность </w:t>
                  </w:r>
                  <w:proofErr w:type="spellStart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том числе количество </w:t>
                  </w:r>
                  <w:proofErr w:type="spellStart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средним профессиональным образованием педагогической направленности (профиля)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педагогических работников, которым по результатам аттестации присвоена квалификационная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категория, в общей численности педагогических работников, в том числе: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1(11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высшей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 (0%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первой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 (11%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0C5A5F" w:rsidRPr="000C5A5F" w:rsidTr="004A1BBD">
              <w:trPr>
                <w:trHeight w:val="438"/>
              </w:trPr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4A1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педагогических работников в общей численности педагогических работников, педагогический стаж работы которых составляет: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5 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 (11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больше 15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4A1BBD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 (66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педагогических работников в общей численности педагогических работников в возрасте: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35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1(11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35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 (88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 (2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 педагогических и административно-хозяйственных работников, которые прошли повышение </w:t>
                  </w:r>
                  <w:r w:rsidR="00D625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квалификации по применению </w:t>
                  </w:r>
                  <w:proofErr w:type="spellStart"/>
                  <w:r w:rsidR="00D625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образовательном</w:t>
                  </w:r>
                  <w:proofErr w:type="spell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процессе ФГОС, от общей численности таких работников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7 (77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%)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человек/чело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10/</w:t>
                  </w:r>
                  <w:r w:rsidR="000C5A5F"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логопеда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0C5A5F" w:rsidRPr="000C5A5F" w:rsidTr="004A1BBD">
              <w:tc>
                <w:tcPr>
                  <w:tcW w:w="6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0C5A5F" w:rsidRPr="000C5A5F" w:rsidTr="004A1BBD">
              <w:tc>
                <w:tcPr>
                  <w:tcW w:w="97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Инфраструктура</w:t>
                  </w:r>
                </w:p>
              </w:tc>
            </w:tr>
            <w:tr w:rsidR="000C5A5F" w:rsidRPr="000C5A5F" w:rsidTr="004A1BB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площадь помещений, в которых осуществляется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C5A5F" w:rsidRPr="000C5A5F" w:rsidTr="004A1BB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D625B7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0C5A5F" w:rsidRPr="000C5A5F" w:rsidTr="004A1BB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C5A5F" w:rsidRPr="000C5A5F" w:rsidTr="004A1BBD"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6108B9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0C5A5F" w:rsidRPr="000C5A5F" w:rsidTr="004A1BB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0C5A5F" w:rsidRPr="000C5A5F" w:rsidTr="004A1BB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25B7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прогулочных площадок, которые оснащены так, чтобы обеспечить потреб</w:t>
                  </w:r>
                  <w:r w:rsidR="00D625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  <w:r w:rsidRPr="000C5A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воспитанников в физической активности и игровой 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C5A5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0C5A5F" w:rsidRPr="000C5A5F" w:rsidTr="004A1BB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C5A5F" w:rsidRPr="000C5A5F" w:rsidRDefault="000C5A5F" w:rsidP="000C5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5A5F" w:rsidRPr="000C5A5F" w:rsidRDefault="000C5A5F" w:rsidP="000C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4188" w:rsidRDefault="00ED4188"/>
    <w:sectPr w:rsidR="00ED4188" w:rsidSect="00ED418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A5F"/>
    <w:rsid w:val="000C5A5F"/>
    <w:rsid w:val="0015519E"/>
    <w:rsid w:val="00175272"/>
    <w:rsid w:val="00196575"/>
    <w:rsid w:val="001A0A5C"/>
    <w:rsid w:val="001E187E"/>
    <w:rsid w:val="00237EDB"/>
    <w:rsid w:val="00354726"/>
    <w:rsid w:val="00360FC4"/>
    <w:rsid w:val="0041641C"/>
    <w:rsid w:val="004A1BBD"/>
    <w:rsid w:val="0058239A"/>
    <w:rsid w:val="005B4DCB"/>
    <w:rsid w:val="005D5C46"/>
    <w:rsid w:val="006108B9"/>
    <w:rsid w:val="0063339C"/>
    <w:rsid w:val="00635A57"/>
    <w:rsid w:val="0065657C"/>
    <w:rsid w:val="006D779E"/>
    <w:rsid w:val="0073596A"/>
    <w:rsid w:val="0076379E"/>
    <w:rsid w:val="007D40AC"/>
    <w:rsid w:val="007F2075"/>
    <w:rsid w:val="00820347"/>
    <w:rsid w:val="0082065B"/>
    <w:rsid w:val="00834F87"/>
    <w:rsid w:val="00966952"/>
    <w:rsid w:val="009A48A2"/>
    <w:rsid w:val="009C681E"/>
    <w:rsid w:val="00A75BC7"/>
    <w:rsid w:val="00AB4470"/>
    <w:rsid w:val="00BE3EE5"/>
    <w:rsid w:val="00C26A89"/>
    <w:rsid w:val="00CA0C80"/>
    <w:rsid w:val="00CE5389"/>
    <w:rsid w:val="00D01925"/>
    <w:rsid w:val="00D55867"/>
    <w:rsid w:val="00D625B7"/>
    <w:rsid w:val="00E10074"/>
    <w:rsid w:val="00E32D87"/>
    <w:rsid w:val="00E507E5"/>
    <w:rsid w:val="00E816B9"/>
    <w:rsid w:val="00ED4188"/>
    <w:rsid w:val="00F55DA8"/>
    <w:rsid w:val="00F8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A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C5A5F"/>
  </w:style>
  <w:style w:type="character" w:customStyle="1" w:styleId="sfwc">
    <w:name w:val="sfwc"/>
    <w:basedOn w:val="a0"/>
    <w:rsid w:val="000C5A5F"/>
  </w:style>
  <w:style w:type="character" w:styleId="a4">
    <w:name w:val="Hyperlink"/>
    <w:basedOn w:val="a0"/>
    <w:uiPriority w:val="99"/>
    <w:semiHidden/>
    <w:unhideWhenUsed/>
    <w:rsid w:val="000C5A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50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044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98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2139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5089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3700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17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1.1904761904761927E-2"/>
                </c:manualLayout>
              </c:layout>
              <c:showVal val="1"/>
            </c:dLbl>
            <c:dLbl>
              <c:idx val="2"/>
              <c:layout>
                <c:manualLayout>
                  <c:x val="6.9444444444445004E-3"/>
                  <c:y val="0.14682539682539741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0.16269841269841281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 5</c:v>
                </c:pt>
                <c:pt idx="1">
                  <c:v>от 5 до 10</c:v>
                </c:pt>
                <c:pt idx="2">
                  <c:v>от 10 до 15</c:v>
                </c:pt>
                <c:pt idx="3">
                  <c:v>от 15 до 20</c:v>
                </c:pt>
                <c:pt idx="4">
                  <c:v>20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2"/>
              <c:layout>
                <c:manualLayout>
                  <c:x val="2.3148148148148147E-3"/>
                  <c:y val="7.9365079365079499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 5</c:v>
                </c:pt>
                <c:pt idx="1">
                  <c:v>от 5 до 10</c:v>
                </c:pt>
                <c:pt idx="2">
                  <c:v>от 10 до 15</c:v>
                </c:pt>
                <c:pt idx="3">
                  <c:v>от 15 до 20</c:v>
                </c:pt>
                <c:pt idx="4">
                  <c:v>20 и более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до 5</c:v>
                </c:pt>
                <c:pt idx="1">
                  <c:v>от 5 до 10</c:v>
                </c:pt>
                <c:pt idx="2">
                  <c:v>от 10 до 15</c:v>
                </c:pt>
                <c:pt idx="3">
                  <c:v>от 15 до 20</c:v>
                </c:pt>
                <c:pt idx="4">
                  <c:v>20 и более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до 5</c:v>
                </c:pt>
                <c:pt idx="1">
                  <c:v>от 5 до 10</c:v>
                </c:pt>
                <c:pt idx="2">
                  <c:v>от 10 до 15</c:v>
                </c:pt>
                <c:pt idx="3">
                  <c:v>от 15 до 20</c:v>
                </c:pt>
                <c:pt idx="4">
                  <c:v>20 и более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до 5</c:v>
                </c:pt>
                <c:pt idx="1">
                  <c:v>от 5 до 10</c:v>
                </c:pt>
                <c:pt idx="2">
                  <c:v>от 10 до 15</c:v>
                </c:pt>
                <c:pt idx="3">
                  <c:v>от 15 до 20</c:v>
                </c:pt>
                <c:pt idx="4">
                  <c:v>20 и более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3</c:v>
                </c:pt>
              </c:numCache>
            </c:numRef>
          </c:val>
        </c:ser>
        <c:shape val="cylinder"/>
        <c:axId val="125455360"/>
        <c:axId val="78496512"/>
        <c:axId val="0"/>
      </c:bar3DChart>
      <c:catAx>
        <c:axId val="125455360"/>
        <c:scaling>
          <c:orientation val="minMax"/>
        </c:scaling>
        <c:axPos val="b"/>
        <c:numFmt formatCode="General" sourceLinked="1"/>
        <c:tickLblPos val="nextTo"/>
        <c:crossAx val="78496512"/>
        <c:crosses val="autoZero"/>
        <c:auto val="1"/>
        <c:lblAlgn val="ctr"/>
        <c:lblOffset val="100"/>
      </c:catAx>
      <c:valAx>
        <c:axId val="78496512"/>
        <c:scaling>
          <c:orientation val="minMax"/>
          <c:max val="3"/>
        </c:scaling>
        <c:axPos val="l"/>
        <c:majorGridlines/>
        <c:numFmt formatCode="General" sourceLinked="1"/>
        <c:tickLblPos val="nextTo"/>
        <c:crossAx val="125455360"/>
        <c:crosses val="autoZero"/>
        <c:crossBetween val="between"/>
        <c:majorUnit val="1"/>
        <c:minorUnit val="0.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2018-05-07T10:28:00Z</cp:lastPrinted>
  <dcterms:created xsi:type="dcterms:W3CDTF">2018-04-24T07:28:00Z</dcterms:created>
  <dcterms:modified xsi:type="dcterms:W3CDTF">2018-05-07T11:15:00Z</dcterms:modified>
</cp:coreProperties>
</file>